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rFonts w:ascii="Garamond" w:cs="Garamond" w:eastAsia="Garamond" w:hAnsi="Garamond"/>
          <w:b w:val="0"/>
          <w:sz w:val="32"/>
          <w:szCs w:val="32"/>
          <w:vertAlign w:val="baseline"/>
        </w:rPr>
      </w:pPr>
      <w:r w:rsidDel="00000000" w:rsidR="00000000" w:rsidRPr="00000000">
        <w:rPr>
          <w:b w:val="1"/>
          <w:sz w:val="32"/>
          <w:szCs w:val="32"/>
          <w:vertAlign w:val="baseline"/>
          <w:rtl w:val="0"/>
        </w:rPr>
        <w:t xml:space="preserve">European Exploration and Expansion</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Garamond" w:cs="Garamond" w:eastAsia="Garamond" w:hAnsi="Garamond"/>
          <w:b w:val="0"/>
          <w:sz w:val="32"/>
          <w:szCs w:val="32"/>
          <w:vertAlign w:val="baseline"/>
        </w:rPr>
      </w:pPr>
      <w:r w:rsidDel="00000000" w:rsidR="00000000" w:rsidRPr="00000000">
        <w:rPr>
          <w:b w:val="1"/>
          <w:sz w:val="32"/>
          <w:szCs w:val="32"/>
          <w:vertAlign w:val="baseline"/>
          <w:rtl w:val="0"/>
        </w:rPr>
        <w:t xml:space="preserve">(1450-1650)</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Garamond" w:cs="Garamond" w:eastAsia="Garamond" w:hAnsi="Garamond"/>
          <w:b w:val="0"/>
          <w:sz w:val="28"/>
          <w:szCs w:val="28"/>
          <w:u w:val="single"/>
          <w:vertAlign w:val="baseline"/>
        </w:rPr>
      </w:pPr>
      <w:r w:rsidDel="00000000" w:rsidR="00000000" w:rsidRPr="00000000">
        <w:rPr>
          <w:sz w:val="28"/>
          <w:szCs w:val="28"/>
          <w:u w:val="single"/>
          <w:vertAlign w:val="baseline"/>
          <w:rtl w:val="0"/>
        </w:rPr>
        <w:t xml:space="preserve">Objectives</w:t>
      </w: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720" w:hanging="360"/>
        <w:rPr>
          <w:rFonts w:ascii="Garamond" w:cs="Garamond" w:eastAsia="Garamond" w:hAnsi="Garamond"/>
          <w:b w:val="0"/>
          <w:sz w:val="24"/>
          <w:szCs w:val="24"/>
        </w:rPr>
      </w:pPr>
      <w:r w:rsidDel="00000000" w:rsidR="00000000" w:rsidRPr="00000000">
        <w:rPr>
          <w:vertAlign w:val="baseline"/>
          <w:rtl w:val="0"/>
        </w:rPr>
        <w:t xml:space="preserve">Describe the pre-Columbian trading world, recognizing the centrality of Africa and Eurasia.</w:t>
      </w: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720" w:hanging="360"/>
        <w:rPr>
          <w:rFonts w:ascii="Garamond" w:cs="Garamond" w:eastAsia="Garamond" w:hAnsi="Garamond"/>
          <w:b w:val="0"/>
          <w:sz w:val="24"/>
          <w:szCs w:val="24"/>
        </w:rPr>
      </w:pPr>
      <w:r w:rsidDel="00000000" w:rsidR="00000000" w:rsidRPr="00000000">
        <w:rPr>
          <w:rtl w:val="0"/>
        </w:rPr>
        <w:t xml:space="preserve">Identify </w:t>
      </w:r>
      <w:r w:rsidDel="00000000" w:rsidR="00000000" w:rsidRPr="00000000">
        <w:rPr>
          <w:vertAlign w:val="baseline"/>
          <w:rtl w:val="0"/>
        </w:rPr>
        <w:t xml:space="preserve">the factors that led to the European discovery and conquest of other lands. </w:t>
      </w: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rPr>
          <w:rFonts w:ascii="Garamond" w:cs="Garamond" w:eastAsia="Garamond" w:hAnsi="Garamond"/>
          <w:b w:val="0"/>
          <w:sz w:val="24"/>
          <w:szCs w:val="24"/>
        </w:rPr>
      </w:pPr>
      <w:r w:rsidDel="00000000" w:rsidR="00000000" w:rsidRPr="00000000">
        <w:rPr>
          <w:vertAlign w:val="baseline"/>
          <w:rtl w:val="0"/>
        </w:rPr>
        <w:t xml:space="preserve">Identify some key figures in the history of European exploration, and </w:t>
      </w:r>
      <w:r w:rsidDel="00000000" w:rsidR="00000000" w:rsidRPr="00000000">
        <w:rPr>
          <w:rtl w:val="0"/>
        </w:rPr>
        <w:t xml:space="preserve">their contribution(s).</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rPr>
          <w:rFonts w:ascii="Garamond" w:cs="Garamond" w:eastAsia="Garamond" w:hAnsi="Garamond"/>
          <w:b w:val="0"/>
          <w:sz w:val="24"/>
          <w:szCs w:val="24"/>
        </w:rPr>
      </w:pPr>
      <w:r w:rsidDel="00000000" w:rsidR="00000000" w:rsidRPr="00000000">
        <w:rPr>
          <w:vertAlign w:val="baseline"/>
          <w:rtl w:val="0"/>
        </w:rPr>
        <w:t xml:space="preserve">Discuss the effect that overseas expansion had on</w:t>
      </w:r>
      <w:r w:rsidDel="00000000" w:rsidR="00000000" w:rsidRPr="00000000">
        <w:rPr>
          <w:rtl w:val="0"/>
        </w:rPr>
        <w:t xml:space="preserve"> </w:t>
      </w:r>
      <w:r w:rsidDel="00000000" w:rsidR="00000000" w:rsidRPr="00000000">
        <w:rPr>
          <w:vertAlign w:val="baseline"/>
          <w:rtl w:val="0"/>
        </w:rPr>
        <w:t xml:space="preserve">conquered societies, on enslaved Africans, on Europe, and on world trade. </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rPr>
          <w:rFonts w:ascii="Garamond" w:cs="Garamond" w:eastAsia="Garamond" w:hAnsi="Garamond"/>
          <w:b w:val="0"/>
          <w:sz w:val="24"/>
          <w:szCs w:val="24"/>
        </w:rPr>
      </w:pPr>
      <w:r w:rsidDel="00000000" w:rsidR="00000000" w:rsidRPr="00000000">
        <w:rPr>
          <w:vertAlign w:val="baseline"/>
          <w:rtl w:val="0"/>
        </w:rPr>
        <w:t xml:space="preserve">Explain how and why slave labor became the dominant form of labor organization in the New World.</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rPr>
          <w:rFonts w:ascii="Garamond" w:cs="Garamond" w:eastAsia="Garamond" w:hAnsi="Garamond"/>
          <w:b w:val="0"/>
          <w:sz w:val="24"/>
          <w:szCs w:val="24"/>
        </w:rPr>
      </w:pPr>
      <w:r w:rsidDel="00000000" w:rsidR="00000000" w:rsidRPr="00000000">
        <w:rPr>
          <w:vertAlign w:val="baseline"/>
          <w:rtl w:val="0"/>
        </w:rPr>
        <w:t xml:space="preserve">Discuss how culture and literature of this period responded to and reflected the social and cultural conditions that gave rise to them (new ideas about race, Montaigne and skepticism, Elizabethan and Jacobean literature [Shakespeare]).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360" w:firstLine="0"/>
        <w:rPr>
          <w:rFonts w:ascii="Garamond" w:cs="Garamond" w:eastAsia="Garamond" w:hAnsi="Garamond"/>
          <w:b w:val="0"/>
          <w:sz w:val="24"/>
          <w:szCs w:val="24"/>
          <w:u w:val="single"/>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Garamond" w:cs="Garamond" w:eastAsia="Garamond" w:hAnsi="Garamond"/>
          <w:b w:val="0"/>
          <w:sz w:val="28"/>
          <w:szCs w:val="28"/>
          <w:u w:val="single"/>
          <w:vertAlign w:val="baseline"/>
        </w:rPr>
      </w:pPr>
      <w:r w:rsidDel="00000000" w:rsidR="00000000" w:rsidRPr="00000000">
        <w:rPr>
          <w:sz w:val="28"/>
          <w:szCs w:val="28"/>
          <w:u w:val="single"/>
          <w:vertAlign w:val="baseline"/>
          <w:rtl w:val="0"/>
        </w:rPr>
        <w:t xml:space="preserve">Terms and People</w:t>
      </w:r>
      <w:r w:rsidDel="00000000" w:rsidR="00000000" w:rsidRPr="00000000">
        <w:rPr>
          <w:rtl w:val="0"/>
        </w:rPr>
      </w:r>
    </w:p>
    <w:tbl>
      <w:tblPr>
        <w:tblStyle w:val="Table1"/>
        <w:tblW w:w="102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27"/>
        <w:gridCol w:w="5127"/>
        <w:tblGridChange w:id="0">
          <w:tblGrid>
            <w:gridCol w:w="5127"/>
            <w:gridCol w:w="5127"/>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vertAlign w:val="baseline"/>
                <w:rtl w:val="0"/>
              </w:rPr>
              <w:t xml:space="preserve">galley</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vertAlign w:val="baseline"/>
                <w:rtl w:val="0"/>
              </w:rPr>
              <w:t xml:space="preserve">caravel (w/ lateen sail &amp; sternpost rudder)</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vertAlign w:val="baseline"/>
                <w:rtl w:val="0"/>
              </w:rPr>
              <w:t xml:space="preserve">cannon</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vertAlign w:val="baseline"/>
                <w:rtl w:val="0"/>
              </w:rPr>
              <w:t xml:space="preserve">Ptolemy’s </w:t>
            </w:r>
            <w:r w:rsidDel="00000000" w:rsidR="00000000" w:rsidRPr="00000000">
              <w:rPr>
                <w:i w:val="1"/>
                <w:vertAlign w:val="baseline"/>
                <w:rtl w:val="0"/>
              </w:rPr>
              <w:t xml:space="preserve">Geography</w:t>
            </w:r>
            <w:r w:rsidDel="00000000" w:rsidR="00000000" w:rsidRPr="00000000">
              <w:rPr>
                <w:vertAlign w:val="baseline"/>
                <w:rtl w:val="0"/>
              </w:rPr>
              <w:t xml:space="preserve"> (re-released ca. 1410)</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vertAlign w:val="baseline"/>
                <w:rtl w:val="0"/>
              </w:rPr>
              <w:t xml:space="preserve">magnetic compass</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vertAlign w:val="baseline"/>
                <w:rtl w:val="0"/>
              </w:rPr>
              <w:t xml:space="preserve">astrolabe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vertAlign w:val="baseline"/>
                <w:rtl w:val="0"/>
              </w:rPr>
              <w:t xml:space="preserve">conquistador</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vertAlign w:val="baseline"/>
                <w:rtl w:val="0"/>
              </w:rPr>
              <w:t xml:space="preserve">Prince Henry “the Navigator” (1394-1460)</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vertAlign w:val="baseline"/>
                <w:rtl w:val="0"/>
              </w:rPr>
              <w:t xml:space="preserve">Explorers:</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vertAlign w:val="baseline"/>
                <w:rtl w:val="0"/>
              </w:rPr>
              <w:t xml:space="preserve">   Bartholomew Diaz</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vertAlign w:val="baseline"/>
                <w:rtl w:val="0"/>
              </w:rPr>
              <w:t xml:space="preserve">   Vasco da Gama</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vertAlign w:val="baseline"/>
                <w:rtl w:val="0"/>
              </w:rPr>
              <w:t xml:space="preserve">   Christopher Columbus</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vertAlign w:val="baseline"/>
                <w:rtl w:val="0"/>
              </w:rPr>
              <w:t xml:space="preserve">   Ferdinand Magellan</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vertAlign w:val="baseline"/>
                <w:rtl w:val="0"/>
              </w:rPr>
              <w:t xml:space="preserve">   Hernando Cortés / Aztec Empire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vertAlign w:val="baseline"/>
                <w:rtl w:val="0"/>
              </w:rPr>
              <w:t xml:space="preserve">   Francisco Pizarro / Inca Empire</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vertAlign w:val="baseline"/>
                <w:rtl w:val="0"/>
              </w:rPr>
              <w:t xml:space="preserve">Treaty of Tordesillas (1494)</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vertAlign w:val="baseline"/>
                <w:rtl w:val="0"/>
              </w:rPr>
              <w:t xml:space="preserve">encomienda system</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vertAlign w:val="baseline"/>
                <w:rtl w:val="0"/>
              </w:rPr>
              <w:t xml:space="preserve">Bartolomé de las Casas (1474-1566)</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vertAlign w:val="baseline"/>
                <w:rtl w:val="0"/>
              </w:rPr>
              <w:t xml:space="preserve">Columbian Exchange</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vertAlign w:val="baseline"/>
                <w:rtl w:val="0"/>
              </w:rPr>
              <w:t xml:space="preserve">Atlantic slave trade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vertAlign w:val="baseline"/>
                <w:rtl w:val="0"/>
              </w:rPr>
              <w:t xml:space="preserve">Spain’s golden century (16</w:t>
            </w:r>
            <w:r w:rsidDel="00000000" w:rsidR="00000000" w:rsidRPr="00000000">
              <w:rPr>
                <w:vertAlign w:val="superscript"/>
                <w:rtl w:val="0"/>
              </w:rPr>
              <w:t xml:space="preserve">th</w:t>
            </w:r>
            <w:r w:rsidDel="00000000" w:rsidR="00000000" w:rsidRPr="00000000">
              <w:rPr>
                <w:vertAlign w:val="baseline"/>
                <w:rtl w:val="0"/>
              </w:rPr>
              <w:t xml:space="preserve"> c.)</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vertAlign w:val="baseline"/>
                <w:rtl w:val="0"/>
              </w:rPr>
              <w:t xml:space="preserve">price revolution (refers to the 16</w:t>
            </w:r>
            <w:r w:rsidDel="00000000" w:rsidR="00000000" w:rsidRPr="00000000">
              <w:rPr>
                <w:vertAlign w:val="superscript"/>
                <w:rtl w:val="0"/>
              </w:rPr>
              <w:t xml:space="preserve">th</w:t>
            </w:r>
            <w:r w:rsidDel="00000000" w:rsidR="00000000" w:rsidRPr="00000000">
              <w:rPr>
                <w:vertAlign w:val="baseline"/>
                <w:rtl w:val="0"/>
              </w:rPr>
              <w:t xml:space="preserve"> c. inflation)</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vertAlign w:val="baseline"/>
                <w:rtl w:val="0"/>
              </w:rPr>
              <w:t xml:space="preserve">Dutch East and West India Companies</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vertAlign w:val="baseline"/>
                <w:rtl w:val="0"/>
              </w:rPr>
              <w:t xml:space="preserve">skepticism</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vertAlign w:val="baseline"/>
                <w:rtl w:val="0"/>
              </w:rPr>
              <w:t xml:space="preserve">Michel de Montaigne (1533-1592) /</w:t>
            </w:r>
            <w:r w:rsidDel="00000000" w:rsidR="00000000" w:rsidRPr="00000000">
              <w:rPr>
                <w:i w:val="1"/>
                <w:vertAlign w:val="baseline"/>
                <w:rtl w:val="0"/>
              </w:rPr>
              <w:t xml:space="preserve">Essays</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vertAlign w:val="baseline"/>
                <w:rtl w:val="0"/>
              </w:rPr>
              <w:t xml:space="preserve">William Shakespeare (1564-1616)</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sectPr>
      <w:headerReference r:id="rId6" w:type="default"/>
      <w:pgSz w:h="15840" w:w="12240"/>
      <w:pgMar w:bottom="864" w:top="1152"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matic SC">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Amatic SC" w:cs="Amatic SC" w:eastAsia="Amatic SC" w:hAnsi="Amatic SC"/>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Amatic SC" w:cs="Amatic SC" w:eastAsia="Amatic SC" w:hAnsi="Amatic SC"/>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Amatic SC" w:cs="Amatic SC" w:eastAsia="Amatic SC" w:hAnsi="Amatic SC"/>
        <w:b w:val="0"/>
        <w:sz w:val="20"/>
        <w:szCs w:val="20"/>
        <w:vertAlign w:val="baseline"/>
      </w:rPr>
    </w:pPr>
    <w:r w:rsidDel="00000000" w:rsidR="00000000" w:rsidRPr="00000000">
      <w:rPr>
        <w:rFonts w:ascii="Amatic SC" w:cs="Amatic SC" w:eastAsia="Amatic SC" w:hAnsi="Amatic SC"/>
        <w:b w:val="0"/>
        <w:sz w:val="20"/>
        <w:szCs w:val="20"/>
        <w:vertAlign w:val="baseline"/>
        <w:rtl w:val="0"/>
      </w:rPr>
      <w:t xml:space="preserve">AP European History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AmaticSC-regular.ttf"/><Relationship Id="rId6" Type="http://schemas.openxmlformats.org/officeDocument/2006/relationships/font" Target="fonts/AmaticS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