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32"/>
          <w:szCs w:val="32"/>
          <w:vertAlign w:val="baseline"/>
        </w:rPr>
      </w:pPr>
      <w:r w:rsidDel="00000000" w:rsidR="00000000" w:rsidRPr="00000000">
        <w:rPr>
          <w:b w:val="1"/>
          <w:sz w:val="32"/>
          <w:szCs w:val="32"/>
          <w:vertAlign w:val="baseline"/>
          <w:rtl w:val="0"/>
        </w:rPr>
        <w:t xml:space="preserve">Industrial Revolution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ca. 1780-1850</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8"/>
          <w:szCs w:val="28"/>
          <w:u w:val="single"/>
          <w:vertAlign w:val="baseline"/>
        </w:rPr>
      </w:pPr>
      <w:r w:rsidDel="00000000" w:rsidR="00000000" w:rsidRPr="00000000">
        <w:rPr>
          <w:sz w:val="28"/>
          <w:szCs w:val="28"/>
          <w:u w:val="single"/>
          <w:vertAlign w:val="baseline"/>
          <w:rtl w:val="0"/>
        </w:rPr>
        <w:t xml:space="preserve">Objectives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Explain the factors that caused the Industrial Revolution to begin in Britain in the 1780s.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Describe early industrial developments in Britain: the technological innovations in the cotton textile industry, the steam engine breakthrough, and the rise of the railroads.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Explain why industrialization in continental Europe lagged behind British industrialization, and identify the factors that allowed continental Europe to catch up with Britain after 1815, including the role that state sponsorship sometimes played.</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Describe the impact of the Industrial Revolution outside of Europe.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Analyze how work evolved during the Industrial Revolution, and how daily life changed for working people.</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Discuss the effects of industrialization on European women (development of separate spheres), and discuss various reasons why their role was changed.</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Describe the relationship between capital and labor in the Industrial Revolution.  Analyze how the changes brought abou</w:t>
      </w:r>
      <w:r w:rsidDel="00000000" w:rsidR="00000000" w:rsidRPr="00000000">
        <w:rPr>
          <w:rtl w:val="0"/>
        </w:rPr>
        <w:t xml:space="preserve">t by the Industrial Revolution led to new social classes, and how people responded to the new structure.  </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Describe the development of the early labor movement in Britain.  Evaluate its effectiveness.</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Define and set into historical context the 3 major economic systems in the world: capitalism, socialism, and communism.  Explain capitalist, utopian socialist, and communist theories.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360" w:firstLine="0"/>
        <w:rPr>
          <w:u w:val="single"/>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8"/>
          <w:szCs w:val="28"/>
          <w:u w:val="single"/>
          <w:vertAlign w:val="baseline"/>
        </w:rPr>
      </w:pPr>
      <w:r w:rsidDel="00000000" w:rsidR="00000000" w:rsidRPr="00000000">
        <w:rPr>
          <w:sz w:val="28"/>
          <w:szCs w:val="28"/>
          <w:u w:val="single"/>
          <w:vertAlign w:val="baseline"/>
          <w:rtl w:val="0"/>
        </w:rPr>
        <w:t xml:space="preserve">Terms and People</w:t>
      </w:r>
    </w:p>
    <w:tbl>
      <w:tblPr>
        <w:tblStyle w:val="Table1"/>
        <w:tblW w:w="103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55"/>
        <w:gridCol w:w="5156"/>
        <w:tblGridChange w:id="0">
          <w:tblGrid>
            <w:gridCol w:w="5155"/>
            <w:gridCol w:w="5156"/>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putting-out system / cottage industry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James Hargreaves – spinning jenny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Richard Arkwright – water frame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James Watt – steam engine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puddling furn</w:t>
            </w:r>
            <w:r w:rsidDel="00000000" w:rsidR="00000000" w:rsidRPr="00000000">
              <w:rPr>
                <w:rtl w:val="0"/>
              </w:rPr>
              <w:t xml:space="preserve">ace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i w:val="1"/>
                <w:vertAlign w:val="baseline"/>
              </w:rPr>
            </w:pPr>
            <w:r w:rsidDel="00000000" w:rsidR="00000000" w:rsidRPr="00000000">
              <w:rPr>
                <w:vertAlign w:val="baseline"/>
                <w:rtl w:val="0"/>
              </w:rPr>
              <w:t xml:space="preserve">George Stephenson – locomotive </w:t>
            </w:r>
            <w:r w:rsidDel="00000000" w:rsidR="00000000" w:rsidRPr="00000000">
              <w:rPr>
                <w:i w:val="1"/>
                <w:vertAlign w:val="baseline"/>
                <w:rtl w:val="0"/>
              </w:rPr>
              <w:t xml:space="preserve">(Rocket)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Crystal Palace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i w:val="0"/>
                <w:vertAlign w:val="baseline"/>
              </w:rPr>
            </w:pPr>
            <w:r w:rsidDel="00000000" w:rsidR="00000000" w:rsidRPr="00000000">
              <w:rPr>
                <w:vertAlign w:val="baseline"/>
                <w:rtl w:val="0"/>
              </w:rPr>
              <w:t xml:space="preserve">Thomas Malthus / </w:t>
            </w:r>
            <w:r w:rsidDel="00000000" w:rsidR="00000000" w:rsidRPr="00000000">
              <w:rPr>
                <w:i w:val="1"/>
                <w:vertAlign w:val="baseline"/>
                <w:rtl w:val="0"/>
              </w:rPr>
              <w:t xml:space="preserve">Essay on the Principle of Population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David Ricardo / iron law of wages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Friedrich List / </w:t>
            </w:r>
            <w:r w:rsidDel="00000000" w:rsidR="00000000" w:rsidRPr="00000000">
              <w:rPr>
                <w:i w:val="1"/>
                <w:vertAlign w:val="baseline"/>
                <w:rtl w:val="0"/>
              </w:rPr>
              <w:t xml:space="preserve">National System of Political Economy</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economic nationalism</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protective tariff</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limited liability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Factory Acts (1802-1833)</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separate spheres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Mines Act of 1842</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class-consciousness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Luddites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Combination Acts of 1799</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Robert Owen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Grand National Consolidated Trades Union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Amalgamated Society of Engineers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Chartists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Second Industrial Revolution (ca. 1860-1914)</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capitalism, free market, market economy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i w:val="0"/>
                <w:vertAlign w:val="baseline"/>
              </w:rPr>
            </w:pPr>
            <w:r w:rsidDel="00000000" w:rsidR="00000000" w:rsidRPr="00000000">
              <w:rPr>
                <w:i w:val="1"/>
                <w:vertAlign w:val="baseline"/>
                <w:rtl w:val="0"/>
              </w:rPr>
              <w:t xml:space="preserve">laissez-faire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Adam Smith / </w:t>
            </w:r>
            <w:r w:rsidDel="00000000" w:rsidR="00000000" w:rsidRPr="00000000">
              <w:rPr>
                <w:i w:val="1"/>
                <w:vertAlign w:val="baseline"/>
                <w:rtl w:val="0"/>
              </w:rPr>
              <w:t xml:space="preserve">The Wealth of Nations</w:t>
            </w:r>
            <w:r w:rsidDel="00000000" w:rsidR="00000000" w:rsidRPr="00000000">
              <w:rPr>
                <w:vertAlign w:val="baseline"/>
                <w:rtl w:val="0"/>
              </w:rPr>
              <w:t xml:space="preserve"> (1776)</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socialism, mixed economy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utopian socialists: Saint-Simon, Fourier, Blanc,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     Proudhon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communism, command economy, Marx</w:t>
            </w:r>
            <w:r w:rsidDel="00000000" w:rsidR="00000000" w:rsidRPr="00000000">
              <w:rPr>
                <w:rtl w:val="0"/>
              </w:rPr>
              <w:t xml:space="preserve">ist</w:t>
            </w:r>
            <w:r w:rsidDel="00000000" w:rsidR="00000000" w:rsidRPr="00000000">
              <w:rPr>
                <w:vertAlign w:val="baseline"/>
                <w:rtl w:val="0"/>
              </w:rPr>
              <w:t xml:space="preserve"> socialism</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Karl Marx</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Marx and Engels / </w:t>
            </w:r>
            <w:r w:rsidDel="00000000" w:rsidR="00000000" w:rsidRPr="00000000">
              <w:rPr>
                <w:i w:val="1"/>
                <w:vertAlign w:val="baseline"/>
                <w:rtl w:val="0"/>
              </w:rPr>
              <w:t xml:space="preserve">The Communist Manifesto</w:t>
            </w:r>
            <w:r w:rsidDel="00000000" w:rsidR="00000000" w:rsidRPr="00000000">
              <w:rPr>
                <w:vertAlign w:val="baseline"/>
                <w:rtl w:val="0"/>
              </w:rPr>
              <w:t xml:space="preserve"> (1848)</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sectPr>
      <w:headerReference r:id="rId6" w:type="default"/>
      <w:pgSz w:h="15840" w:w="12240"/>
      <w:pgMar w:bottom="734" w:top="1152"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atic SC">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matic SC" w:cs="Amatic SC" w:eastAsia="Amatic SC" w:hAnsi="Amatic SC"/>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matic SC" w:cs="Amatic SC" w:eastAsia="Amatic SC" w:hAnsi="Amatic SC"/>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Amatic SC" w:cs="Amatic SC" w:eastAsia="Amatic SC" w:hAnsi="Amatic SC"/>
        <w:b w:val="0"/>
        <w:sz w:val="20"/>
        <w:szCs w:val="20"/>
        <w:vertAlign w:val="baseline"/>
      </w:rPr>
    </w:pPr>
    <w:r w:rsidDel="00000000" w:rsidR="00000000" w:rsidRPr="00000000">
      <w:rPr>
        <w:rFonts w:ascii="Amatic SC" w:cs="Amatic SC" w:eastAsia="Amatic SC" w:hAnsi="Amatic SC"/>
        <w:b w:val="0"/>
        <w:sz w:val="20"/>
        <w:szCs w:val="20"/>
        <w:vertAlign w:val="baseline"/>
        <w:rtl w:val="0"/>
      </w:rPr>
      <w:t xml:space="preserve">AP European History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Garamond" w:cs="Garamond" w:eastAsia="Garamond" w:hAnsi="Garamond"/>
      <w:b w:val="0"/>
      <w:i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maticSC-regular.ttf"/><Relationship Id="rId6"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