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Renaissance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(1350-1550)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3"/>
          <w:szCs w:val="23"/>
          <w:u w:val="single"/>
          <w:vertAlign w:val="baseline"/>
        </w:rPr>
      </w:pPr>
      <w:r w:rsidDel="00000000" w:rsidR="00000000" w:rsidRPr="00000000">
        <w:rPr>
          <w:sz w:val="23"/>
          <w:szCs w:val="23"/>
          <w:u w:val="single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Analyze the Renaissance as either a distinct period or as a continuation of the Middle Ages.  Was there more change or continuity?  Does it deserve to be considered a new and distinct period in history?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Explain why the Renaissance began in Italy.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Describe political developments in Renaissance Italy.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Identify and describe the intellectual and artistic hallmarks of the Italian Renaissance (the “isms”).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Identify principal Renaissance artists and their 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Explain how Renaissance art differed from medieval 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Discuss the role of patronage in the Italian Renaissance and the new role of the artist.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Describe Renaissance education and explain how it revealed the Renaissance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Analyze Machiavelli’s </w:t>
      </w:r>
      <w:r w:rsidDel="00000000" w:rsidR="00000000" w:rsidRPr="00000000">
        <w:rPr>
          <w:i w:val="1"/>
          <w:sz w:val="23"/>
          <w:szCs w:val="23"/>
          <w:vertAlign w:val="baseline"/>
          <w:rtl w:val="0"/>
        </w:rPr>
        <w:t xml:space="preserve">The Prince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and consider how it reflected and affected the politics of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Identify and explain the beliefs of Christian (northern) humanists, including More and Erasmus.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Identify developments in printing and discuss the impact of the invention of movable-type.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Analyze the extent to which women had a Renaissance.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Discuss the Renaissance attitude toward race, ethnicity, slavery, and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Garamond" w:cs="Garamond" w:eastAsia="Garamond" w:hAnsi="Garamond"/>
          <w:b w:val="0"/>
          <w:sz w:val="23"/>
          <w:szCs w:val="23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Discuss the characteristics of the “new monarchs.”  Analyze the extent to which the “new monarchs” of France, England, and Spain (ca. 1450-1521) were Machiavellian in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3"/>
          <w:szCs w:val="23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3"/>
          <w:szCs w:val="23"/>
          <w:u w:val="single"/>
          <w:vertAlign w:val="baseline"/>
        </w:rPr>
      </w:pPr>
      <w:r w:rsidDel="00000000" w:rsidR="00000000" w:rsidRPr="00000000">
        <w:rPr>
          <w:sz w:val="23"/>
          <w:szCs w:val="23"/>
          <w:u w:val="single"/>
          <w:vertAlign w:val="baseline"/>
          <w:rtl w:val="0"/>
        </w:rPr>
        <w:t xml:space="preserve">Terms and People</w:t>
      </w:r>
      <w:r w:rsidDel="00000000" w:rsidR="00000000" w:rsidRPr="00000000">
        <w:rPr>
          <w:rtl w:val="0"/>
        </w:rPr>
      </w:r>
    </w:p>
    <w:tbl>
      <w:tblPr>
        <w:tblStyle w:val="Table1"/>
        <w:tblW w:w="102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7"/>
        <w:gridCol w:w="5127"/>
        <w:tblGridChange w:id="0">
          <w:tblGrid>
            <w:gridCol w:w="5127"/>
            <w:gridCol w:w="512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patronage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commune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oligarchy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popolo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republic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condotierri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signori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(princely) court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Medicis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balance of power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Girolamo Savonarola (1452-1498)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Francesco Petrarch (1304-1374)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humanism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civic humanism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individualism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secularism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High Renaissance (1500-1527) artists: Leonardo,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 Raphael, Michelangelo (i.e. 3 of the Ninja Turtles)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Pico della Mirandola/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On the Dignity of 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Giorgio Vasari (1511-1574) / 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Lives of the Artists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Baldassare Castiglione/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The Courtier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Niccoló Machiavelli (1469-1527)/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The Prince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virtú &amp; fortuna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“Renaissance man”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printing press/movable 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Gutenberg’s Bible (1456)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Northern Renaissance/Christian (northern) humanism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Thomas More (1478-1535)/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Utopia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Desiderius Erasmus (1466?-1536)/</w:t>
            </w:r>
            <w:r w:rsidDel="00000000" w:rsidR="00000000" w:rsidRPr="00000000">
              <w:rPr>
                <w:i w:val="1"/>
                <w:sz w:val="23"/>
                <w:szCs w:val="23"/>
                <w:vertAlign w:val="baseline"/>
                <w:rtl w:val="0"/>
              </w:rPr>
              <w:t xml:space="preserve">Various Texts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orders/estates (i.e. relating to the social hierarchy)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“new monarchs”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France: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Charles VII (r. 1422-1461)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Louis XI (r. 1461-1483), “Spider King”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Concordat of Bologna (1516)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England: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Henry VII (r. 1485-1509)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Tudors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Wars of the Roses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Court of Star Chamber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Spain: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Ferdinand and Isabella (r. 1474-1516)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reconquista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conversos/New Christians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  Spanish Inquisition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08" w:top="1152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Garamond" w:cs="Garamond" w:eastAsia="Garamond" w:hAnsi="Garamond"/>
        <w:b w:val="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sz w:val="20"/>
        <w:szCs w:val="20"/>
        <w:vertAlign w:val="baseline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